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Kath. Theologie/ Religionspädagogik</w:t>
      </w:r>
      <w:r>
        <w:rPr>
          <w:rStyle w:val="Funotenzeichen"/>
          <w:rFonts w:ascii="Arial" w:eastAsia="Times New Roman" w:hAnsi="Arial" w:cs="Arial"/>
          <w:b/>
          <w:sz w:val="28"/>
          <w:szCs w:val="28"/>
          <w:lang w:eastAsia="de-DE"/>
        </w:rPr>
        <w:footnoteReference w:id="1"/>
      </w:r>
      <w:r>
        <w:rPr>
          <w:rFonts w:ascii="Arial" w:eastAsia="Times New Roman" w:hAnsi="Arial" w:cs="Arial"/>
          <w:b/>
          <w:sz w:val="28"/>
          <w:szCs w:val="28"/>
          <w:lang w:eastAsia="de-DE"/>
        </w:rPr>
        <w:t xml:space="preserve"> - SEK</w:t>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Unterrichtliche Handlungskompetenzen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theologische Sachinformationen zu einem Thema verstehend reflektieren, in größere Zusammenhänge einordnen und zentrale theologische Problem</w:t>
            </w:r>
            <w:r>
              <w:rPr>
                <w:rFonts w:ascii="Arial" w:eastAsia="MS Mincho" w:hAnsi="Arial" w:cs="Arial"/>
                <w:lang w:eastAsia="ja-JP"/>
              </w:rPr>
              <w:softHyphen/>
              <w:t>stellungen unter Bezugnahme auf neuere Fachliteratur wissenschaftlich klären und ihre Ergebnisse darstellen.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Ansatz der Elementarisierungsdidaktik bei ihren/seinen Unterrichtsvorbereitungen verwenden. Zentral ist, die Lebenssituation der Schülerinnen und Schüler kritisch mit der christlichen Botschaft in Beziehung setzen zu können (z.B. Prinzip der Korrelation; beziehungstheolo</w:t>
            </w:r>
            <w:r>
              <w:rPr>
                <w:rFonts w:ascii="Arial" w:eastAsia="MS Mincho" w:hAnsi="Arial" w:cs="Arial"/>
                <w:lang w:eastAsia="ja-JP"/>
              </w:rPr>
              <w:softHyphen/>
              <w:t>gischer, abduktiver, alteritätstheoretischer, performativer Ansatz etc.).</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das inhaltlich Elementare eines theologischen Themas identifizieren und es im Hinblick auf die Schülerinnen und Schüler didaktisch reflektieren (elementare Strukturen).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zentralen Erfahrungen, die die Schülerinnen und Schüler in ihrer Lebenswelt machen, und die Erfahrungen, die durch das Thema vermittelt werden, sowohl analysieren und beschreiben als auch miteinander in Beziehung setzen (elementare Erfahrungen).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entwicklungsadäquate  Relevanz des elementaren Themas für die Schülerinnen und Schüler unter Zuhilfenahme entwicklungspsychologischer Konzepte erläutern (elementare Zugänge).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bl>
    <w:p>
      <w:r>
        <w:br w:type="column"/>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erläutern und begründen, inwiefern ihre Unterrichtsstunden den Schülerinnen und Schüler eine Auseinandersetzung  mit elementaren Wahrheitsansprüchen  des behandelten Stoffes ermöglicht (elementare Wahrheiten).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das von ihr/ihm gewählte methodische Vorgehen darstellen und zugleich begründen, inwiefern die methodische Vorgehensweise sowohl dem Entwicklungsstand/den Erfahrungen der Schülerinnen und Schüler als auch der Struktur des Gegenstandes angemessen ist (elementare Lernformen).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durch das didaktische Konzept der Elementarisierung begründeten Kompetenzen verständlich und eindeutig zu formulieren und mit dem gültigen Bildungsplan abzugleichen.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vor jedem Unterrichtsversuch eine kompetenzorientierte, didaktisch und methodisch begründete Unterrichtsskizze bzw. einen ausführlichen Unterrichtsentwurf vorzulegen.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eastAsia="MS Mincho" w:hAnsi="Arial" w:cs="Arial"/>
                <w:b/>
                <w:lang w:eastAsia="ja-JP"/>
              </w:rPr>
            </w:pPr>
            <w:r>
              <w:rPr>
                <w:rFonts w:ascii="Arial" w:eastAsia="MS Mincho" w:hAnsi="Arial" w:cs="Arial"/>
                <w:b/>
                <w:lang w:eastAsia="ja-JP"/>
              </w:rPr>
              <w:t>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Unterricht kritisch beobachten und ihren/seinen Kommilitoninnen und Kommilitonen entsprechende Rückmeldungen in angemessener Weise geben.</w:t>
            </w:r>
          </w:p>
        </w:tc>
        <w:bookmarkStart w:id="27" w:name="_GoBack"/>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7"/>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personale Faktoren (Auftreten, Rhetorik, Handlungen/Verhalten, non-verbale Signale der Lehrperson etc.) beschreiben und kritisch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didaktische Entscheidungen (Verantwortbarkeit des ausgewählten Gegenstandes in Bezug auf theologische und schülerorientierte Standards) kritisch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den Unterrichtsaufbau (Sequenzierung der Stunde, Spannungsbogen, Formen der Ergebnissicherung etc.) kritisch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die Methodenwahl und ihre Umsetzung (sowohl den Schülerinnen und Schülern als auch dem Gegenstand angemessene Sozialformen, Eigenaktivierung der Lernenden) kritisch reflektieren.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die Kommunikation und den Umgang mit den Schülerinnen und Schülern (Einbezug aller Lernenden, Impuls- und Fragetechnik, non-verbale Kommunikation in Mimik und Gestik, Disziplin usw.) kritisch reflektieren.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bl>
    <w:p>
      <w:pPr>
        <w:pStyle w:val="KeinLeerraum"/>
      </w:pPr>
    </w:p>
    <w:p>
      <w:pPr>
        <w:pStyle w:val="KeinLeerraum"/>
      </w:pPr>
    </w:p>
    <w:p>
      <w:pPr>
        <w:pStyle w:val="KeinLeerraum"/>
      </w:pPr>
    </w:p>
    <w:p>
      <w:pPr>
        <w:pStyle w:val="KeinLeerraum"/>
      </w:pPr>
    </w:p>
    <w:p>
      <w:pPr>
        <w:pStyle w:val="KeinLeerraum"/>
      </w:pPr>
    </w:p>
    <w:p>
      <w:pPr>
        <w:pStyle w:val="KeinLeerraum"/>
      </w:pPr>
    </w:p>
    <w:p>
      <w:pPr>
        <w:pStyle w:val="KeinLeerraum"/>
      </w:pPr>
    </w:p>
    <w:p>
      <w:pPr>
        <w:pStyle w:val="KeinLeerraum"/>
      </w:pPr>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lastRenderedPageBreak/>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kath. Theologie/ Religionspädagogik</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w:t>
      </w:r>
      <w:r>
        <w:rPr>
          <w:rFonts w:ascii="Arial" w:eastAsia="Arial" w:hAnsi="Arial" w:cs="Arial"/>
          <w:sz w:val="18"/>
          <w:szCs w:val="18"/>
        </w:rPr>
        <w:t xml:space="preserve">Die Voraussetzungen für eine </w:t>
      </w:r>
    </w:p>
    <w:p>
      <w:pPr>
        <w:pStyle w:val="Funotentext"/>
        <w:rPr>
          <w:rFonts w:ascii="Arial" w:eastAsia="Arial" w:hAnsi="Arial" w:cs="Arial"/>
          <w:sz w:val="18"/>
          <w:szCs w:val="18"/>
        </w:rPr>
      </w:pPr>
      <w:r>
        <w:rPr>
          <w:rFonts w:ascii="Arial" w:eastAsia="Arial" w:hAnsi="Arial" w:cs="Arial"/>
          <w:sz w:val="18"/>
          <w:szCs w:val="18"/>
        </w:rPr>
        <w:t xml:space="preserve">  erfolgreiche Teilnahme im Fach Kath. Theologie/Religionspädagogik sind erfüllt,</w:t>
      </w:r>
      <w:r>
        <w:rPr>
          <w:rFonts w:ascii="Arial" w:eastAsia="Arial" w:hAnsi="Arial" w:cs="Arial"/>
          <w:spacing w:val="29"/>
          <w:sz w:val="18"/>
          <w:szCs w:val="18"/>
        </w:rPr>
        <w:t xml:space="preserve"> </w:t>
      </w:r>
      <w:r>
        <w:rPr>
          <w:rFonts w:ascii="Arial" w:eastAsia="Arial" w:hAnsi="Arial" w:cs="Arial"/>
          <w:sz w:val="18"/>
          <w:szCs w:val="18"/>
        </w:rPr>
        <w:t>wenn</w:t>
      </w:r>
      <w:r>
        <w:rPr>
          <w:rFonts w:ascii="Arial" w:eastAsia="Arial" w:hAnsi="Arial" w:cs="Arial"/>
          <w:spacing w:val="16"/>
          <w:sz w:val="18"/>
          <w:szCs w:val="18"/>
        </w:rPr>
        <w:t xml:space="preserve"> </w:t>
      </w:r>
      <w:r>
        <w:rPr>
          <w:rFonts w:ascii="Arial" w:eastAsia="Arial" w:hAnsi="Arial" w:cs="Arial"/>
          <w:sz w:val="18"/>
          <w:szCs w:val="18"/>
        </w:rPr>
        <w:t>mindestens 7</w:t>
      </w:r>
      <w:r>
        <w:rPr>
          <w:rFonts w:ascii="Arial" w:eastAsia="Arial" w:hAnsi="Arial" w:cs="Arial"/>
          <w:spacing w:val="8"/>
          <w:sz w:val="18"/>
          <w:szCs w:val="18"/>
        </w:rPr>
        <w:t xml:space="preserve"> </w:t>
      </w:r>
      <w:r>
        <w:rPr>
          <w:rFonts w:ascii="Arial" w:eastAsia="Arial" w:hAnsi="Arial" w:cs="Arial"/>
          <w:sz w:val="18"/>
          <w:szCs w:val="18"/>
        </w:rPr>
        <w:t>der</w:t>
      </w:r>
      <w:r>
        <w:rPr>
          <w:rFonts w:ascii="Arial" w:eastAsia="Arial" w:hAnsi="Arial" w:cs="Arial"/>
          <w:spacing w:val="10"/>
          <w:sz w:val="18"/>
          <w:szCs w:val="18"/>
        </w:rPr>
        <w:t xml:space="preserve"> </w:t>
      </w:r>
      <w:r>
        <w:rPr>
          <w:rFonts w:ascii="Arial" w:eastAsia="Arial" w:hAnsi="Arial" w:cs="Arial"/>
          <w:sz w:val="18"/>
          <w:szCs w:val="18"/>
        </w:rPr>
        <w:t xml:space="preserve">15 Standards mit MKN </w:t>
      </w:r>
    </w:p>
    <w:p>
      <w:pPr>
        <w:pStyle w:val="Funotentext"/>
        <w:rPr>
          <w:rFonts w:ascii="Arial" w:hAnsi="Arial" w:cs="Arial"/>
          <w:sz w:val="18"/>
          <w:szCs w:val="18"/>
        </w:rPr>
      </w:pPr>
      <w:r>
        <w:rPr>
          <w:rFonts w:ascii="Arial" w:eastAsia="Arial" w:hAnsi="Arial" w:cs="Arial"/>
          <w:sz w:val="18"/>
          <w:szCs w:val="18"/>
        </w:rPr>
        <w:t xml:space="preserve">  oder besser bewertet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A285BB2-6EC5-41FF-80E7-AB3F967C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23011">
      <w:bodyDiv w:val="1"/>
      <w:marLeft w:val="0"/>
      <w:marRight w:val="0"/>
      <w:marTop w:val="0"/>
      <w:marBottom w:val="0"/>
      <w:divBdr>
        <w:top w:val="none" w:sz="0" w:space="0" w:color="auto"/>
        <w:left w:val="none" w:sz="0" w:space="0" w:color="auto"/>
        <w:bottom w:val="none" w:sz="0" w:space="0" w:color="auto"/>
        <w:right w:val="none" w:sz="0" w:space="0" w:color="auto"/>
      </w:divBdr>
    </w:div>
    <w:div w:id="328289079">
      <w:bodyDiv w:val="1"/>
      <w:marLeft w:val="0"/>
      <w:marRight w:val="0"/>
      <w:marTop w:val="0"/>
      <w:marBottom w:val="0"/>
      <w:divBdr>
        <w:top w:val="none" w:sz="0" w:space="0" w:color="auto"/>
        <w:left w:val="none" w:sz="0" w:space="0" w:color="auto"/>
        <w:bottom w:val="none" w:sz="0" w:space="0" w:color="auto"/>
        <w:right w:val="none" w:sz="0" w:space="0" w:color="auto"/>
      </w:divBdr>
    </w:div>
    <w:div w:id="1015578506">
      <w:bodyDiv w:val="1"/>
      <w:marLeft w:val="0"/>
      <w:marRight w:val="0"/>
      <w:marTop w:val="0"/>
      <w:marBottom w:val="0"/>
      <w:divBdr>
        <w:top w:val="none" w:sz="0" w:space="0" w:color="auto"/>
        <w:left w:val="none" w:sz="0" w:space="0" w:color="auto"/>
        <w:bottom w:val="none" w:sz="0" w:space="0" w:color="auto"/>
        <w:right w:val="none" w:sz="0" w:space="0" w:color="auto"/>
      </w:divBdr>
    </w:div>
    <w:div w:id="1031612312">
      <w:bodyDiv w:val="1"/>
      <w:marLeft w:val="0"/>
      <w:marRight w:val="0"/>
      <w:marTop w:val="0"/>
      <w:marBottom w:val="0"/>
      <w:divBdr>
        <w:top w:val="none" w:sz="0" w:space="0" w:color="auto"/>
        <w:left w:val="none" w:sz="0" w:space="0" w:color="auto"/>
        <w:bottom w:val="none" w:sz="0" w:space="0" w:color="auto"/>
        <w:right w:val="none" w:sz="0" w:space="0" w:color="auto"/>
      </w:divBdr>
    </w:div>
    <w:div w:id="1099135436">
      <w:bodyDiv w:val="1"/>
      <w:marLeft w:val="0"/>
      <w:marRight w:val="0"/>
      <w:marTop w:val="0"/>
      <w:marBottom w:val="0"/>
      <w:divBdr>
        <w:top w:val="none" w:sz="0" w:space="0" w:color="auto"/>
        <w:left w:val="none" w:sz="0" w:space="0" w:color="auto"/>
        <w:bottom w:val="none" w:sz="0" w:space="0" w:color="auto"/>
        <w:right w:val="none" w:sz="0" w:space="0" w:color="auto"/>
      </w:divBdr>
    </w:div>
    <w:div w:id="1306542763">
      <w:bodyDiv w:val="1"/>
      <w:marLeft w:val="0"/>
      <w:marRight w:val="0"/>
      <w:marTop w:val="0"/>
      <w:marBottom w:val="0"/>
      <w:divBdr>
        <w:top w:val="none" w:sz="0" w:space="0" w:color="auto"/>
        <w:left w:val="none" w:sz="0" w:space="0" w:color="auto"/>
        <w:bottom w:val="none" w:sz="0" w:space="0" w:color="auto"/>
        <w:right w:val="none" w:sz="0" w:space="0" w:color="auto"/>
      </w:divBdr>
    </w:div>
    <w:div w:id="1516386992">
      <w:bodyDiv w:val="1"/>
      <w:marLeft w:val="0"/>
      <w:marRight w:val="0"/>
      <w:marTop w:val="0"/>
      <w:marBottom w:val="0"/>
      <w:divBdr>
        <w:top w:val="none" w:sz="0" w:space="0" w:color="auto"/>
        <w:left w:val="none" w:sz="0" w:space="0" w:color="auto"/>
        <w:bottom w:val="none" w:sz="0" w:space="0" w:color="auto"/>
        <w:right w:val="none" w:sz="0" w:space="0" w:color="auto"/>
      </w:divBdr>
    </w:div>
    <w:div w:id="1553806664">
      <w:bodyDiv w:val="1"/>
      <w:marLeft w:val="0"/>
      <w:marRight w:val="0"/>
      <w:marTop w:val="0"/>
      <w:marBottom w:val="0"/>
      <w:divBdr>
        <w:top w:val="none" w:sz="0" w:space="0" w:color="auto"/>
        <w:left w:val="none" w:sz="0" w:space="0" w:color="auto"/>
        <w:bottom w:val="none" w:sz="0" w:space="0" w:color="auto"/>
        <w:right w:val="none" w:sz="0" w:space="0" w:color="auto"/>
      </w:divBdr>
    </w:div>
    <w:div w:id="1567760228">
      <w:bodyDiv w:val="1"/>
      <w:marLeft w:val="0"/>
      <w:marRight w:val="0"/>
      <w:marTop w:val="0"/>
      <w:marBottom w:val="0"/>
      <w:divBdr>
        <w:top w:val="none" w:sz="0" w:space="0" w:color="auto"/>
        <w:left w:val="none" w:sz="0" w:space="0" w:color="auto"/>
        <w:bottom w:val="none" w:sz="0" w:space="0" w:color="auto"/>
        <w:right w:val="none" w:sz="0" w:space="0" w:color="auto"/>
      </w:divBdr>
    </w:div>
    <w:div w:id="1751076235">
      <w:bodyDiv w:val="1"/>
      <w:marLeft w:val="0"/>
      <w:marRight w:val="0"/>
      <w:marTop w:val="0"/>
      <w:marBottom w:val="0"/>
      <w:divBdr>
        <w:top w:val="none" w:sz="0" w:space="0" w:color="auto"/>
        <w:left w:val="none" w:sz="0" w:space="0" w:color="auto"/>
        <w:bottom w:val="none" w:sz="0" w:space="0" w:color="auto"/>
        <w:right w:val="none" w:sz="0" w:space="0" w:color="auto"/>
      </w:divBdr>
    </w:div>
    <w:div w:id="177651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A5265-9B91-4259-8FE1-49AB0F4A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5802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10</cp:revision>
  <cp:lastPrinted>2022-11-09T14:25:00Z</cp:lastPrinted>
  <dcterms:created xsi:type="dcterms:W3CDTF">2022-11-08T22:13:00Z</dcterms:created>
  <dcterms:modified xsi:type="dcterms:W3CDTF">2024-09-18T05:40:00Z</dcterms:modified>
</cp:coreProperties>
</file>