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Kath. Theologie/ Religionspädagogik</w:t>
      </w:r>
      <w:r>
        <w:rPr>
          <w:rStyle w:val="Funotenzeichen"/>
          <w:rFonts w:ascii="Arial" w:eastAsia="Times New Roman" w:hAnsi="Arial" w:cs="Arial"/>
          <w:b/>
          <w:sz w:val="28"/>
          <w:szCs w:val="28"/>
          <w:lang w:eastAsia="de-DE"/>
        </w:rPr>
        <w:footnoteReference w:id="1"/>
      </w:r>
      <w:r>
        <w:rPr>
          <w:rFonts w:ascii="Arial" w:eastAsia="Times New Roman" w:hAnsi="Arial" w:cs="Arial"/>
          <w:b/>
          <w:sz w:val="28"/>
          <w:szCs w:val="28"/>
          <w:lang w:eastAsia="de-DE"/>
        </w:rPr>
        <w:t xml:space="preserve"> - GS</w:t>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bookmarkStart w:id="1" w:name="_GoBack"/>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bookmarkEnd w:id="1"/>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3"/>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Unterrichtsplanung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umfassende Sachinformation zu einem Thema theologisch reflektieren, in größere Zusammenhänge einordnen und unter Bezugnahme auf neuere Fachliteratur wissenschaftlich darstellen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Ansatz der Elementarisierungsdidaktik bei der Unterrichtsvorbereitung verwenden. Zentral ist, die Lebenssituation der Schülerinnen und Schüler kritisch mit der christlichen Botschaft in Beziehung zu setzen.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das </w:t>
            </w:r>
            <w:r>
              <w:rPr>
                <w:rFonts w:ascii="Arial" w:eastAsia="MS Mincho" w:hAnsi="Arial" w:cs="Arial"/>
                <w:b/>
                <w:lang w:eastAsia="ja-JP"/>
              </w:rPr>
              <w:t>inhaltlich Elementare</w:t>
            </w:r>
            <w:r>
              <w:rPr>
                <w:rFonts w:ascii="Arial" w:eastAsia="MS Mincho" w:hAnsi="Arial" w:cs="Arial"/>
                <w:lang w:eastAsia="ja-JP"/>
              </w:rPr>
              <w:t xml:space="preserve"> des jeweiligen theologischen Themas identifizieren (elementare Strukturen).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die zentralen </w:t>
            </w:r>
            <w:r>
              <w:rPr>
                <w:rFonts w:ascii="Arial" w:eastAsia="MS Mincho" w:hAnsi="Arial" w:cs="Arial"/>
                <w:b/>
                <w:lang w:eastAsia="ja-JP"/>
              </w:rPr>
              <w:t>Erfahrungen</w:t>
            </w:r>
            <w:r>
              <w:rPr>
                <w:rFonts w:ascii="Arial" w:eastAsia="MS Mincho" w:hAnsi="Arial" w:cs="Arial"/>
                <w:lang w:eastAsia="ja-JP"/>
              </w:rPr>
              <w:t xml:space="preserve"> der Schülerinnen und Schüler und die Erfahrungen, die durch das Thema vermittelt werden, miteinander in Beziehung setzen (elementare Erfahrungen).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den psychologischen </w:t>
            </w:r>
            <w:r>
              <w:rPr>
                <w:rFonts w:ascii="Arial" w:eastAsia="MS Mincho" w:hAnsi="Arial" w:cs="Arial"/>
                <w:b/>
                <w:lang w:eastAsia="ja-JP"/>
              </w:rPr>
              <w:t>Entwicklungsstand</w:t>
            </w:r>
            <w:r>
              <w:rPr>
                <w:rFonts w:ascii="Arial" w:eastAsia="MS Mincho" w:hAnsi="Arial" w:cs="Arial"/>
                <w:lang w:eastAsia="ja-JP"/>
              </w:rPr>
              <w:t xml:space="preserve"> der Schülerinnen und Schüler adäquat berücksichtigen (elementare Zugänge).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geeignete </w:t>
            </w:r>
            <w:r>
              <w:rPr>
                <w:rFonts w:ascii="Arial" w:eastAsia="MS Mincho" w:hAnsi="Arial" w:cs="Arial"/>
                <w:b/>
                <w:lang w:eastAsia="ja-JP"/>
              </w:rPr>
              <w:t>Unterrichtsmethoden</w:t>
            </w:r>
            <w:r>
              <w:rPr>
                <w:rFonts w:ascii="Arial" w:eastAsia="MS Mincho" w:hAnsi="Arial" w:cs="Arial"/>
                <w:lang w:eastAsia="ja-JP"/>
              </w:rPr>
              <w:t xml:space="preserve"> verwenden (elementare Lernwege).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die </w:t>
            </w:r>
            <w:r>
              <w:rPr>
                <w:rFonts w:ascii="Arial" w:eastAsia="MS Mincho" w:hAnsi="Arial" w:cs="Arial"/>
                <w:b/>
                <w:lang w:eastAsia="ja-JP"/>
              </w:rPr>
              <w:t>existentielle Relevanz</w:t>
            </w:r>
            <w:r>
              <w:rPr>
                <w:rFonts w:ascii="Arial" w:eastAsia="MS Mincho" w:hAnsi="Arial" w:cs="Arial"/>
                <w:lang w:eastAsia="ja-JP"/>
              </w:rPr>
              <w:t xml:space="preserve"> des Unterreichsgegenstandes aufzeigen und dadurch existentielle Erfahrungen von Schülerinnen und Schüler ermöglichen (elementare Wahrheiten).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tcBorders>
              <w:bottom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 Bezug auf den relevanten Bildungsplan verständliche Kompetenzen formulieren und fördern.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9.</w:t>
            </w:r>
          </w:p>
        </w:tc>
        <w:tc>
          <w:tcPr>
            <w:tcW w:w="5510" w:type="dxa"/>
            <w:tcBorders>
              <w:top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durch angemessene Impulse, Fragen und Unterrichtsgespräche die Schülerinnen und Schüler zur eigenständigen Arbeit motivieren.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in ihrem/seinem Auftreten, ihrem/seinem Gestik, ihrer/seiner Sprache und ihrem/seinem Verhalten den Unterricht angemessen gestalten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Schüleräußerungen und -tätigkeiten angemessen würdigen.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sowohl ihre/seine Unterrichtsskizze als auch ihren/seinen ausführlichen Unterrichtsentwurf nach dem Ansatz der Elementarisierung gestalten. </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eastAsia="MS Mincho" w:hAnsi="Arial" w:cs="Arial"/>
                <w:b/>
                <w:lang w:eastAsia="ja-JP"/>
              </w:rPr>
            </w:pPr>
            <w:r>
              <w:rPr>
                <w:rFonts w:ascii="Arial" w:eastAsia="MS Mincho" w:hAnsi="Arial" w:cs="Arial"/>
                <w:b/>
                <w:lang w:eastAsia="ja-JP"/>
              </w:rPr>
              <w:t>Reflektieren</w:t>
            </w:r>
          </w:p>
          <w:p>
            <w:pPr>
              <w:spacing w:after="0" w:line="240" w:lineRule="auto"/>
              <w:rPr>
                <w:rFonts w:ascii="Arial" w:hAnsi="Arial" w:cs="Arial"/>
                <w:b/>
              </w:rPr>
            </w:pPr>
            <w:r>
              <w:rPr>
                <w:rFonts w:ascii="Arial" w:eastAsia="Calibri" w:hAnsi="Arial" w:cs="Arial"/>
              </w:rPr>
              <w:t>Die Studierenden können in den Unterrichtsbesprechungen ihren Unterricht angemessen reflektieren, Konsequenzen für die weitere professionelle Entwicklung ableiten sowie angemessene Rückmeldungen an ihren Mitstudierenden geben, und zwar in Blick auf</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after="0" w:line="240" w:lineRule="auto"/>
              <w:rPr>
                <w:rFonts w:ascii="Arial" w:eastAsia="Calibri" w:hAnsi="Arial" w:cs="Arial"/>
              </w:rPr>
            </w:pPr>
            <w:r>
              <w:rPr>
                <w:rFonts w:ascii="Arial" w:eastAsia="Calibri" w:hAnsi="Arial" w:cs="Arial"/>
              </w:rPr>
              <w:t>die theologische Begründung des Themas und seiner erfahrungsorientieren Umsetzung.</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after="0" w:line="240" w:lineRule="auto"/>
              <w:rPr>
                <w:rFonts w:ascii="Arial" w:eastAsia="Calibri" w:hAnsi="Arial" w:cs="Arial"/>
              </w:rPr>
            </w:pPr>
            <w:r>
              <w:rPr>
                <w:rFonts w:ascii="Arial" w:eastAsia="Calibri" w:hAnsi="Arial" w:cs="Arial"/>
              </w:rPr>
              <w:t>den Unterrichtsaufbau: Eröffnungsphase, u.U. Problemformulierung, Sequenzierung der Stunde (roter Faden), Spannungsbogen, Gelenkstellen, Ergebnissicherung.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tcPr>
          <w:p>
            <w:pPr>
              <w:spacing w:after="0" w:line="240" w:lineRule="auto"/>
              <w:rPr>
                <w:rFonts w:ascii="Arial" w:eastAsia="Calibri" w:hAnsi="Arial" w:cs="Arial"/>
              </w:rPr>
            </w:pPr>
            <w:r>
              <w:rPr>
                <w:rFonts w:ascii="Arial" w:eastAsia="Calibri" w:hAnsi="Arial" w:cs="Arial"/>
              </w:rPr>
              <w:t>die Wahl der Methoden und deren Umsetzung.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tcPr>
          <w:p>
            <w:pPr>
              <w:spacing w:after="0" w:line="240" w:lineRule="auto"/>
              <w:rPr>
                <w:rFonts w:ascii="Arial" w:eastAsia="Calibri" w:hAnsi="Arial" w:cs="Arial"/>
              </w:rPr>
            </w:pPr>
            <w:r>
              <w:rPr>
                <w:rFonts w:ascii="Arial" w:eastAsia="Calibri" w:hAnsi="Arial" w:cs="Arial"/>
              </w:rPr>
              <w:t>Faktoren der Lehrerpersönlichkeit: Auftreten, Handlungen, Sprache, Gestik, Mimik, Aufrechterhaltung einer guten Arbeitsatmosphäre usw.</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kath. Theologie/ Religionspädagogik</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G</w:t>
      </w:r>
      <w:r>
        <w:rPr>
          <w:rFonts w:ascii="Arial" w:eastAsia="Times New Roman" w:hAnsi="Arial" w:cs="Arial"/>
          <w:kern w:val="28"/>
          <w:sz w:val="18"/>
          <w:szCs w:val="18"/>
          <w:lang w:eastAsia="de-DE"/>
        </w:rPr>
        <w:t>emäß Bachelor Grundschule PO 2015 bzw. Master Sekundarstufe PO 2018 ausgearbeitet durch die einzelnen Fächer.</w:t>
      </w:r>
    </w:p>
  </w:footnote>
  <w:footnote w:id="3">
    <w:p>
      <w:pPr>
        <w:pStyle w:val="Funotentext"/>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r>
        <w:rPr>
          <w:rFonts w:ascii="Arial" w:eastAsia="Arial" w:hAnsi="Arial" w:cs="Arial"/>
          <w:sz w:val="18"/>
          <w:szCs w:val="18"/>
        </w:rPr>
        <w:t xml:space="preserve"> Die Voraussetzungen für eine </w:t>
      </w:r>
    </w:p>
    <w:p>
      <w:pPr>
        <w:pStyle w:val="Funotentext"/>
        <w:rPr>
          <w:rFonts w:ascii="Arial" w:eastAsia="Arial" w:hAnsi="Arial" w:cs="Arial"/>
          <w:sz w:val="18"/>
          <w:szCs w:val="18"/>
        </w:rPr>
      </w:pPr>
      <w:r>
        <w:rPr>
          <w:rFonts w:ascii="Arial" w:eastAsia="Arial" w:hAnsi="Arial" w:cs="Arial"/>
          <w:sz w:val="18"/>
          <w:szCs w:val="18"/>
        </w:rPr>
        <w:t xml:space="preserve">  erfolgreiche Teilnahme im Fach Kath. Theologie/ Religionspädagogik GS sind erfüllt,</w:t>
      </w:r>
      <w:r>
        <w:rPr>
          <w:rFonts w:ascii="Arial" w:eastAsia="Arial" w:hAnsi="Arial" w:cs="Arial"/>
          <w:spacing w:val="29"/>
          <w:sz w:val="18"/>
          <w:szCs w:val="18"/>
        </w:rPr>
        <w:t xml:space="preserve"> </w:t>
      </w:r>
      <w:r>
        <w:rPr>
          <w:rFonts w:ascii="Arial" w:eastAsia="Arial" w:hAnsi="Arial" w:cs="Arial"/>
          <w:sz w:val="18"/>
          <w:szCs w:val="18"/>
        </w:rPr>
        <w:t>wenn</w:t>
      </w:r>
      <w:r>
        <w:rPr>
          <w:rFonts w:ascii="Arial" w:eastAsia="Arial" w:hAnsi="Arial" w:cs="Arial"/>
          <w:spacing w:val="16"/>
          <w:sz w:val="18"/>
          <w:szCs w:val="18"/>
        </w:rPr>
        <w:t xml:space="preserve"> </w:t>
      </w:r>
      <w:r>
        <w:rPr>
          <w:rFonts w:ascii="Arial" w:eastAsia="Arial" w:hAnsi="Arial" w:cs="Arial"/>
          <w:sz w:val="18"/>
          <w:szCs w:val="18"/>
        </w:rPr>
        <w:t>mindestens 8</w:t>
      </w:r>
      <w:r>
        <w:rPr>
          <w:rFonts w:ascii="Arial" w:eastAsia="Arial" w:hAnsi="Arial" w:cs="Arial"/>
          <w:spacing w:val="8"/>
          <w:sz w:val="18"/>
          <w:szCs w:val="18"/>
        </w:rPr>
        <w:t xml:space="preserve"> </w:t>
      </w:r>
      <w:r>
        <w:rPr>
          <w:rFonts w:ascii="Arial" w:eastAsia="Arial" w:hAnsi="Arial" w:cs="Arial"/>
          <w:sz w:val="18"/>
          <w:szCs w:val="18"/>
        </w:rPr>
        <w:t>der</w:t>
      </w:r>
      <w:r>
        <w:rPr>
          <w:rFonts w:ascii="Arial" w:eastAsia="Arial" w:hAnsi="Arial" w:cs="Arial"/>
          <w:spacing w:val="10"/>
          <w:sz w:val="18"/>
          <w:szCs w:val="18"/>
        </w:rPr>
        <w:t xml:space="preserve"> </w:t>
      </w:r>
      <w:r>
        <w:rPr>
          <w:rFonts w:ascii="Arial" w:eastAsia="Arial" w:hAnsi="Arial" w:cs="Arial"/>
          <w:sz w:val="18"/>
          <w:szCs w:val="18"/>
        </w:rPr>
        <w:t>16 Standards</w:t>
      </w:r>
      <w:r>
        <w:rPr>
          <w:rFonts w:ascii="Arial" w:eastAsia="Arial" w:hAnsi="Arial" w:cs="Arial"/>
          <w:spacing w:val="45"/>
          <w:sz w:val="18"/>
          <w:szCs w:val="18"/>
        </w:rPr>
        <w:t xml:space="preserve"> </w:t>
      </w:r>
      <w:r>
        <w:rPr>
          <w:rFonts w:ascii="Arial" w:eastAsia="Arial" w:hAnsi="Arial" w:cs="Arial"/>
          <w:sz w:val="18"/>
          <w:szCs w:val="18"/>
        </w:rPr>
        <w:t xml:space="preserve">mit </w:t>
      </w:r>
    </w:p>
    <w:p>
      <w:pPr>
        <w:pStyle w:val="Funotentext"/>
        <w:rPr>
          <w:rFonts w:ascii="Arial" w:hAnsi="Arial" w:cs="Arial"/>
          <w:sz w:val="18"/>
          <w:szCs w:val="18"/>
        </w:rPr>
      </w:pPr>
      <w:r>
        <w:rPr>
          <w:rFonts w:ascii="Arial" w:eastAsia="Arial" w:hAnsi="Arial" w:cs="Arial"/>
          <w:sz w:val="18"/>
          <w:szCs w:val="18"/>
        </w:rPr>
        <w:t xml:space="preserve">  MKN oder besser bewertet</w:t>
      </w:r>
      <w:r>
        <w:rPr>
          <w:rFonts w:ascii="Arial" w:eastAsia="Arial" w:hAnsi="Arial" w:cs="Arial"/>
          <w:spacing w:val="23"/>
          <w:sz w:val="18"/>
          <w:szCs w:val="18"/>
        </w:rPr>
        <w:t xml:space="preserve"> </w:t>
      </w:r>
      <w:r>
        <w:rPr>
          <w:rFonts w:ascii="Arial" w:eastAsia="Arial" w:hAnsi="Arial" w:cs="Arial"/>
          <w:sz w:val="18"/>
          <w:szCs w:val="18"/>
        </w:rPr>
        <w:t>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3983026-0032-42D5-B144-BAC0B168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172469">
      <w:bodyDiv w:val="1"/>
      <w:marLeft w:val="0"/>
      <w:marRight w:val="0"/>
      <w:marTop w:val="0"/>
      <w:marBottom w:val="0"/>
      <w:divBdr>
        <w:top w:val="none" w:sz="0" w:space="0" w:color="auto"/>
        <w:left w:val="none" w:sz="0" w:space="0" w:color="auto"/>
        <w:bottom w:val="none" w:sz="0" w:space="0" w:color="auto"/>
        <w:right w:val="none" w:sz="0" w:space="0" w:color="auto"/>
      </w:divBdr>
    </w:div>
    <w:div w:id="608122117">
      <w:bodyDiv w:val="1"/>
      <w:marLeft w:val="0"/>
      <w:marRight w:val="0"/>
      <w:marTop w:val="0"/>
      <w:marBottom w:val="0"/>
      <w:divBdr>
        <w:top w:val="none" w:sz="0" w:space="0" w:color="auto"/>
        <w:left w:val="none" w:sz="0" w:space="0" w:color="auto"/>
        <w:bottom w:val="none" w:sz="0" w:space="0" w:color="auto"/>
        <w:right w:val="none" w:sz="0" w:space="0" w:color="auto"/>
      </w:divBdr>
    </w:div>
    <w:div w:id="813763472">
      <w:bodyDiv w:val="1"/>
      <w:marLeft w:val="0"/>
      <w:marRight w:val="0"/>
      <w:marTop w:val="0"/>
      <w:marBottom w:val="0"/>
      <w:divBdr>
        <w:top w:val="none" w:sz="0" w:space="0" w:color="auto"/>
        <w:left w:val="none" w:sz="0" w:space="0" w:color="auto"/>
        <w:bottom w:val="none" w:sz="0" w:space="0" w:color="auto"/>
        <w:right w:val="none" w:sz="0" w:space="0" w:color="auto"/>
      </w:divBdr>
    </w:div>
    <w:div w:id="1099135436">
      <w:bodyDiv w:val="1"/>
      <w:marLeft w:val="0"/>
      <w:marRight w:val="0"/>
      <w:marTop w:val="0"/>
      <w:marBottom w:val="0"/>
      <w:divBdr>
        <w:top w:val="none" w:sz="0" w:space="0" w:color="auto"/>
        <w:left w:val="none" w:sz="0" w:space="0" w:color="auto"/>
        <w:bottom w:val="none" w:sz="0" w:space="0" w:color="auto"/>
        <w:right w:val="none" w:sz="0" w:space="0" w:color="auto"/>
      </w:divBdr>
    </w:div>
    <w:div w:id="1319654866">
      <w:bodyDiv w:val="1"/>
      <w:marLeft w:val="0"/>
      <w:marRight w:val="0"/>
      <w:marTop w:val="0"/>
      <w:marBottom w:val="0"/>
      <w:divBdr>
        <w:top w:val="none" w:sz="0" w:space="0" w:color="auto"/>
        <w:left w:val="none" w:sz="0" w:space="0" w:color="auto"/>
        <w:bottom w:val="none" w:sz="0" w:space="0" w:color="auto"/>
        <w:right w:val="none" w:sz="0" w:space="0" w:color="auto"/>
      </w:divBdr>
    </w:div>
    <w:div w:id="1460415102">
      <w:bodyDiv w:val="1"/>
      <w:marLeft w:val="0"/>
      <w:marRight w:val="0"/>
      <w:marTop w:val="0"/>
      <w:marBottom w:val="0"/>
      <w:divBdr>
        <w:top w:val="none" w:sz="0" w:space="0" w:color="auto"/>
        <w:left w:val="none" w:sz="0" w:space="0" w:color="auto"/>
        <w:bottom w:val="none" w:sz="0" w:space="0" w:color="auto"/>
        <w:right w:val="none" w:sz="0" w:space="0" w:color="auto"/>
      </w:divBdr>
    </w:div>
    <w:div w:id="1516386992">
      <w:bodyDiv w:val="1"/>
      <w:marLeft w:val="0"/>
      <w:marRight w:val="0"/>
      <w:marTop w:val="0"/>
      <w:marBottom w:val="0"/>
      <w:divBdr>
        <w:top w:val="none" w:sz="0" w:space="0" w:color="auto"/>
        <w:left w:val="none" w:sz="0" w:space="0" w:color="auto"/>
        <w:bottom w:val="none" w:sz="0" w:space="0" w:color="auto"/>
        <w:right w:val="none" w:sz="0" w:space="0" w:color="auto"/>
      </w:divBdr>
    </w:div>
    <w:div w:id="1586303854">
      <w:bodyDiv w:val="1"/>
      <w:marLeft w:val="0"/>
      <w:marRight w:val="0"/>
      <w:marTop w:val="0"/>
      <w:marBottom w:val="0"/>
      <w:divBdr>
        <w:top w:val="none" w:sz="0" w:space="0" w:color="auto"/>
        <w:left w:val="none" w:sz="0" w:space="0" w:color="auto"/>
        <w:bottom w:val="none" w:sz="0" w:space="0" w:color="auto"/>
        <w:right w:val="none" w:sz="0" w:space="0" w:color="auto"/>
      </w:divBdr>
    </w:div>
    <w:div w:id="1629122221">
      <w:bodyDiv w:val="1"/>
      <w:marLeft w:val="0"/>
      <w:marRight w:val="0"/>
      <w:marTop w:val="0"/>
      <w:marBottom w:val="0"/>
      <w:divBdr>
        <w:top w:val="none" w:sz="0" w:space="0" w:color="auto"/>
        <w:left w:val="none" w:sz="0" w:space="0" w:color="auto"/>
        <w:bottom w:val="none" w:sz="0" w:space="0" w:color="auto"/>
        <w:right w:val="none" w:sz="0" w:space="0" w:color="auto"/>
      </w:divBdr>
    </w:div>
    <w:div w:id="1744834775">
      <w:bodyDiv w:val="1"/>
      <w:marLeft w:val="0"/>
      <w:marRight w:val="0"/>
      <w:marTop w:val="0"/>
      <w:marBottom w:val="0"/>
      <w:divBdr>
        <w:top w:val="none" w:sz="0" w:space="0" w:color="auto"/>
        <w:left w:val="none" w:sz="0" w:space="0" w:color="auto"/>
        <w:bottom w:val="none" w:sz="0" w:space="0" w:color="auto"/>
        <w:right w:val="none" w:sz="0" w:space="0" w:color="auto"/>
      </w:divBdr>
    </w:div>
    <w:div w:id="175107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9362A-0BE3-4559-8BBA-EB656729A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5227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7</cp:revision>
  <cp:lastPrinted>2018-02-13T09:32:00Z</cp:lastPrinted>
  <dcterms:created xsi:type="dcterms:W3CDTF">2022-11-08T22:09:00Z</dcterms:created>
  <dcterms:modified xsi:type="dcterms:W3CDTF">2024-09-18T05:39:00Z</dcterms:modified>
</cp:coreProperties>
</file>